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tabs>
          <w:tab w:val="left" w:pos="6660"/>
        </w:tabs>
        <w:spacing w:before="0" w:beforeAutospacing="0" w:after="0" w:afterAutospacing="0" w:line="52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贵州轻工职业技术学院</w:t>
      </w:r>
    </w:p>
    <w:p>
      <w:pPr>
        <w:spacing w:afterLines="100" w:line="52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教职工在职提升学历（学位）教育学习管理办法（试行）</w:t>
      </w:r>
    </w:p>
    <w:p>
      <w:pPr>
        <w:pStyle w:val="13"/>
        <w:tabs>
          <w:tab w:val="left" w:pos="6660"/>
        </w:tabs>
        <w:spacing w:before="0" w:beforeAutospacing="0" w:after="0" w:afterAutospacing="0" w:line="500" w:lineRule="exact"/>
        <w:ind w:firstLine="31680" w:firstLineChars="200"/>
        <w:jc w:val="both"/>
        <w:rPr>
          <w:rStyle w:val="14"/>
          <w:rFonts w:ascii="仿宋_GB2312" w:eastAsia="仿宋_GB2312" w:cs="Tahoma"/>
          <w:sz w:val="32"/>
          <w:szCs w:val="32"/>
        </w:rPr>
      </w:pPr>
      <w:r>
        <w:rPr>
          <w:rFonts w:hint="eastAsia" w:ascii="仿宋_GB2312" w:eastAsia="仿宋_GB2312" w:cs="Tahoma"/>
          <w:sz w:val="32"/>
          <w:szCs w:val="32"/>
        </w:rPr>
        <w:t>为增强进修学习的针对性，有效改善管理队伍和师资队伍结构，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提升全院教职工的整体</w:t>
      </w:r>
      <w:bookmarkStart w:id="0" w:name="_GoBack"/>
      <w:bookmarkEnd w:id="0"/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素质和业务水平，</w:t>
      </w:r>
      <w:r>
        <w:rPr>
          <w:rFonts w:hint="eastAsia" w:ascii="仿宋_GB2312" w:eastAsia="仿宋_GB2312" w:cs="Tahoma"/>
          <w:sz w:val="32"/>
          <w:szCs w:val="32"/>
        </w:rPr>
        <w:t>使教职工在职学历（学位）教育学习与学院的事业发展有机结合起来，形成在职学历（学位）教育学习与合理使用的良性循环，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特制定以下办法。</w:t>
      </w:r>
    </w:p>
    <w:p>
      <w:pPr>
        <w:pStyle w:val="13"/>
        <w:spacing w:before="0" w:beforeAutospacing="0" w:after="0" w:afterAutospacing="0"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　</w:t>
      </w:r>
      <w:r>
        <w:rPr>
          <w:rStyle w:val="14"/>
          <w:rFonts w:hint="eastAsia" w:ascii="仿宋_GB2312" w:eastAsia="仿宋_GB2312"/>
          <w:b/>
          <w:color w:val="000000"/>
          <w:sz w:val="32"/>
          <w:szCs w:val="32"/>
        </w:rPr>
        <w:t>一、在职学历（学位）教育学习的种类</w:t>
      </w:r>
    </w:p>
    <w:p>
      <w:pPr>
        <w:pStyle w:val="13"/>
        <w:spacing w:before="0" w:beforeAutospacing="0" w:after="0" w:afterAutospacing="0" w:line="500" w:lineRule="exact"/>
        <w:ind w:firstLine="570"/>
        <w:rPr>
          <w:rStyle w:val="14"/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在职硕士研究生学历（学位）教育；</w:t>
      </w:r>
    </w:p>
    <w:p>
      <w:pPr>
        <w:pStyle w:val="13"/>
        <w:spacing w:before="0" w:beforeAutospacing="0" w:after="0" w:afterAutospacing="0" w:line="500" w:lineRule="exact"/>
        <w:ind w:firstLine="570"/>
        <w:rPr>
          <w:rStyle w:val="14"/>
          <w:rFonts w:ascii="仿宋_GB2312" w:eastAsia="仿宋_GB2312"/>
          <w:color w:val="000000"/>
          <w:sz w:val="32"/>
          <w:szCs w:val="32"/>
        </w:rPr>
      </w:pPr>
      <w:r>
        <w:rPr>
          <w:rStyle w:val="14"/>
          <w:rFonts w:ascii="仿宋_GB2312" w:eastAsia="仿宋_GB2312"/>
          <w:color w:val="000000"/>
          <w:sz w:val="32"/>
          <w:szCs w:val="32"/>
        </w:rPr>
        <w:t>2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、在职博士研究生学历（学位）教育；</w:t>
      </w:r>
    </w:p>
    <w:p>
      <w:pPr>
        <w:pStyle w:val="13"/>
        <w:spacing w:before="0" w:beforeAutospacing="0" w:after="0" w:afterAutospacing="0" w:line="500" w:lineRule="exact"/>
        <w:ind w:firstLine="570"/>
        <w:rPr>
          <w:rStyle w:val="14"/>
          <w:rFonts w:ascii="仿宋_GB2312" w:eastAsia="仿宋_GB2312"/>
          <w:color w:val="000000"/>
          <w:sz w:val="32"/>
          <w:szCs w:val="32"/>
        </w:rPr>
      </w:pPr>
      <w:r>
        <w:rPr>
          <w:rStyle w:val="14"/>
          <w:rFonts w:ascii="仿宋_GB2312" w:eastAsia="仿宋_GB2312"/>
          <w:color w:val="000000"/>
          <w:sz w:val="32"/>
          <w:szCs w:val="32"/>
        </w:rPr>
        <w:t>3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、博士后进站研究学习。</w:t>
      </w:r>
    </w:p>
    <w:p>
      <w:pPr>
        <w:pStyle w:val="13"/>
        <w:spacing w:before="0" w:beforeAutospacing="0" w:after="0" w:afterAutospacing="0" w:line="500" w:lineRule="exact"/>
        <w:ind w:firstLine="555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二、</w:t>
      </w:r>
      <w:r>
        <w:rPr>
          <w:rStyle w:val="14"/>
          <w:rFonts w:hint="eastAsia" w:ascii="仿宋_GB2312" w:eastAsia="仿宋_GB2312"/>
          <w:b/>
          <w:color w:val="000000"/>
          <w:sz w:val="32"/>
          <w:szCs w:val="32"/>
        </w:rPr>
        <w:t>参加在职学历（学位）教育学习的基本条件</w:t>
      </w:r>
    </w:p>
    <w:p>
      <w:pPr>
        <w:pStyle w:val="13"/>
        <w:spacing w:before="0" w:beforeAutospacing="0" w:after="0" w:afterAutospacing="0" w:line="500" w:lineRule="exact"/>
        <w:ind w:firstLine="31680" w:firstLineChars="200"/>
        <w:rPr>
          <w:rStyle w:val="14"/>
          <w:rFonts w:ascii="仿宋_GB2312" w:eastAsia="仿宋_GB2312"/>
          <w:sz w:val="32"/>
          <w:szCs w:val="32"/>
        </w:rPr>
      </w:pPr>
      <w:r>
        <w:rPr>
          <w:rStyle w:val="14"/>
          <w:rFonts w:ascii="仿宋_GB2312" w:eastAsia="仿宋_GB2312"/>
          <w:sz w:val="32"/>
          <w:szCs w:val="32"/>
        </w:rPr>
        <w:t>1</w:t>
      </w:r>
      <w:r>
        <w:rPr>
          <w:rStyle w:val="14"/>
          <w:rFonts w:hint="eastAsia" w:ascii="仿宋_GB2312" w:eastAsia="仿宋_GB2312"/>
          <w:sz w:val="32"/>
          <w:szCs w:val="32"/>
        </w:rPr>
        <w:t>、申请参加在职学历（学位）教育学习者，应热爱本职工作，有良好的职业道德，认真履行岗位职责，积极完成工作任务，在本院工作满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两年，</w:t>
      </w:r>
      <w:r>
        <w:rPr>
          <w:rStyle w:val="14"/>
          <w:rFonts w:hint="eastAsia" w:ascii="仿宋_GB2312" w:eastAsia="仿宋_GB2312"/>
          <w:sz w:val="32"/>
          <w:szCs w:val="32"/>
        </w:rPr>
        <w:t>年度考核均为合格以上。</w:t>
      </w:r>
    </w:p>
    <w:p>
      <w:pPr>
        <w:pStyle w:val="13"/>
        <w:spacing w:before="0" w:beforeAutospacing="0" w:after="0" w:afterAutospacing="0" w:line="500" w:lineRule="exact"/>
        <w:ind w:firstLine="31680" w:firstLineChars="200"/>
        <w:rPr>
          <w:rStyle w:val="14"/>
          <w:rFonts w:ascii="仿宋_GB2312" w:eastAsia="仿宋_GB2312"/>
          <w:sz w:val="32"/>
          <w:szCs w:val="32"/>
        </w:rPr>
      </w:pPr>
      <w:r>
        <w:rPr>
          <w:rStyle w:val="14"/>
          <w:rFonts w:ascii="仿宋_GB2312" w:eastAsia="仿宋_GB2312"/>
          <w:sz w:val="32"/>
          <w:szCs w:val="32"/>
        </w:rPr>
        <w:t>2</w:t>
      </w:r>
      <w:r>
        <w:rPr>
          <w:rStyle w:val="14"/>
          <w:rFonts w:hint="eastAsia" w:ascii="仿宋_GB2312" w:eastAsia="仿宋_GB2312"/>
          <w:sz w:val="32"/>
          <w:szCs w:val="32"/>
        </w:rPr>
        <w:t>、申请报考的专业应与学院学科专业或管理岗位需要相符。</w:t>
      </w:r>
    </w:p>
    <w:p>
      <w:pPr>
        <w:widowControl/>
        <w:spacing w:line="500" w:lineRule="exact"/>
        <w:ind w:firstLine="560"/>
        <w:jc w:val="left"/>
        <w:rPr>
          <w:rStyle w:val="14"/>
          <w:rFonts w:ascii="仿宋_GB2312" w:eastAsia="仿宋_GB2312"/>
          <w:b/>
          <w:color w:val="000000"/>
          <w:sz w:val="32"/>
          <w:szCs w:val="32"/>
        </w:rPr>
      </w:pPr>
      <w:r>
        <w:rPr>
          <w:rStyle w:val="14"/>
          <w:rFonts w:hint="eastAsia" w:ascii="仿宋_GB2312" w:eastAsia="仿宋_GB2312"/>
          <w:b/>
          <w:color w:val="000000"/>
          <w:kern w:val="0"/>
          <w:sz w:val="32"/>
          <w:szCs w:val="32"/>
        </w:rPr>
        <w:t>三、</w:t>
      </w:r>
      <w:r>
        <w:rPr>
          <w:rStyle w:val="14"/>
          <w:rFonts w:hint="eastAsia" w:ascii="仿宋_GB2312" w:eastAsia="仿宋_GB2312"/>
          <w:b/>
          <w:color w:val="000000"/>
          <w:sz w:val="32"/>
          <w:szCs w:val="32"/>
        </w:rPr>
        <w:t>在职学历（学位）教育学习</w:t>
      </w:r>
      <w:r>
        <w:rPr>
          <w:rStyle w:val="14"/>
          <w:rFonts w:hint="eastAsia" w:ascii="仿宋_GB2312" w:eastAsia="仿宋_GB2312"/>
          <w:b/>
          <w:sz w:val="32"/>
          <w:szCs w:val="32"/>
        </w:rPr>
        <w:t>申请程序</w:t>
      </w:r>
    </w:p>
    <w:p>
      <w:pPr>
        <w:pStyle w:val="13"/>
        <w:spacing w:before="0" w:beforeAutospacing="0" w:after="0" w:afterAutospacing="0" w:line="500" w:lineRule="exact"/>
        <w:ind w:firstLine="31680" w:firstLineChars="200"/>
        <w:rPr>
          <w:rStyle w:val="14"/>
          <w:rFonts w:ascii="仿宋_GB2312" w:eastAsia="仿宋_GB2312"/>
          <w:color w:val="000000"/>
          <w:sz w:val="32"/>
          <w:szCs w:val="32"/>
        </w:rPr>
      </w:pPr>
      <w:r>
        <w:rPr>
          <w:rStyle w:val="14"/>
          <w:rFonts w:ascii="仿宋_GB2312" w:eastAsia="仿宋_GB2312"/>
          <w:color w:val="000000"/>
          <w:sz w:val="32"/>
          <w:szCs w:val="32"/>
        </w:rPr>
        <w:t>1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、从事教学工作的人员。个人申请，所在系部给出基层推荐意见，教务处给出推荐意见，分管院领导给出推荐意见。</w:t>
      </w:r>
    </w:p>
    <w:p>
      <w:pPr>
        <w:pStyle w:val="13"/>
        <w:spacing w:before="0" w:beforeAutospacing="0" w:after="0" w:afterAutospacing="0" w:line="500" w:lineRule="exact"/>
        <w:ind w:firstLine="31680" w:firstLineChars="200"/>
        <w:rPr>
          <w:rStyle w:val="14"/>
          <w:rFonts w:ascii="仿宋_GB2312" w:eastAsia="仿宋_GB2312"/>
          <w:color w:val="000000"/>
          <w:sz w:val="32"/>
          <w:szCs w:val="32"/>
        </w:rPr>
      </w:pPr>
      <w:r>
        <w:rPr>
          <w:rStyle w:val="14"/>
          <w:rFonts w:ascii="仿宋_GB2312" w:eastAsia="仿宋_GB2312"/>
          <w:color w:val="000000"/>
          <w:sz w:val="32"/>
          <w:szCs w:val="32"/>
        </w:rPr>
        <w:t>2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、从事党政管理工作的人员。个人申请，所在部门给出基层推荐意见，分管院领导给出推荐意见。</w:t>
      </w:r>
    </w:p>
    <w:p>
      <w:pPr>
        <w:pStyle w:val="13"/>
        <w:spacing w:before="0" w:beforeAutospacing="0" w:after="0" w:afterAutospacing="0" w:line="500" w:lineRule="exact"/>
        <w:ind w:firstLine="31680" w:firstLineChars="200"/>
        <w:rPr>
          <w:rStyle w:val="14"/>
          <w:rFonts w:ascii="仿宋_GB2312" w:eastAsia="仿宋_GB2312"/>
          <w:color w:val="000000"/>
          <w:sz w:val="32"/>
          <w:szCs w:val="32"/>
        </w:rPr>
      </w:pPr>
      <w:r>
        <w:rPr>
          <w:rStyle w:val="14"/>
          <w:rFonts w:ascii="仿宋_GB2312" w:eastAsia="仿宋_GB2312"/>
          <w:color w:val="000000"/>
          <w:sz w:val="32"/>
          <w:szCs w:val="32"/>
        </w:rPr>
        <w:t>3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、《贵州轻工职业技术学院教职工在职提升学历（学位）教育学习申请表》由人事处汇总后，提交学院学术委员会。学术委员会根据学用相适应的原则，组织专家进行集体评审，提出推荐意见并报院长办公会审议。</w:t>
      </w:r>
    </w:p>
    <w:p>
      <w:pPr>
        <w:widowControl/>
        <w:spacing w:line="500" w:lineRule="exact"/>
        <w:ind w:firstLine="560"/>
        <w:jc w:val="left"/>
        <w:rPr>
          <w:rStyle w:val="14"/>
          <w:rFonts w:ascii="仿宋_GB2312" w:eastAsia="仿宋_GB2312"/>
          <w:b/>
          <w:color w:val="000000"/>
          <w:kern w:val="0"/>
          <w:sz w:val="32"/>
          <w:szCs w:val="32"/>
        </w:rPr>
      </w:pPr>
      <w:r>
        <w:rPr>
          <w:rStyle w:val="14"/>
          <w:rFonts w:hint="eastAsia" w:ascii="仿宋_GB2312" w:eastAsia="仿宋_GB2312"/>
          <w:b/>
          <w:color w:val="000000"/>
          <w:kern w:val="0"/>
          <w:sz w:val="32"/>
          <w:szCs w:val="32"/>
        </w:rPr>
        <w:t>四、</w:t>
      </w:r>
      <w:r>
        <w:rPr>
          <w:rStyle w:val="14"/>
          <w:rFonts w:hint="eastAsia" w:ascii="仿宋_GB2312" w:eastAsia="仿宋_GB2312"/>
          <w:b/>
          <w:color w:val="000000"/>
          <w:sz w:val="32"/>
          <w:szCs w:val="32"/>
        </w:rPr>
        <w:t>在职学历（学位）教育学习</w:t>
      </w:r>
      <w:r>
        <w:rPr>
          <w:rStyle w:val="14"/>
          <w:rFonts w:hint="eastAsia" w:ascii="仿宋_GB2312" w:eastAsia="仿宋_GB2312"/>
          <w:b/>
          <w:color w:val="000000"/>
          <w:kern w:val="0"/>
          <w:sz w:val="32"/>
          <w:szCs w:val="32"/>
        </w:rPr>
        <w:t>有关规定</w:t>
      </w:r>
    </w:p>
    <w:p>
      <w:pPr>
        <w:pStyle w:val="13"/>
        <w:spacing w:before="0" w:beforeAutospacing="0" w:after="0" w:afterAutospacing="0" w:line="500" w:lineRule="exact"/>
        <w:ind w:firstLine="31680" w:firstLineChars="200"/>
        <w:rPr>
          <w:rStyle w:val="14"/>
          <w:rFonts w:ascii="仿宋_GB2312" w:eastAsia="仿宋_GB2312"/>
          <w:color w:val="000000"/>
          <w:sz w:val="32"/>
          <w:szCs w:val="32"/>
        </w:rPr>
      </w:pPr>
      <w:r>
        <w:rPr>
          <w:rStyle w:val="14"/>
          <w:rFonts w:ascii="仿宋_GB2312" w:eastAsia="仿宋_GB2312"/>
          <w:color w:val="000000"/>
          <w:sz w:val="32"/>
          <w:szCs w:val="32"/>
        </w:rPr>
        <w:t>1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、经学院批准同意，参加在职学历（学位）教育学习学费报销规定：（</w:t>
      </w:r>
      <w:r>
        <w:rPr>
          <w:rStyle w:val="14"/>
          <w:rFonts w:ascii="仿宋_GB2312" w:eastAsia="仿宋_GB2312"/>
          <w:color w:val="000000"/>
          <w:sz w:val="32"/>
          <w:szCs w:val="32"/>
        </w:rPr>
        <w:t>1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）在职攻读硕士研究生学历（学位）学习的教职工，在学习结束后，持硕士研究生学位证书，凭就读院校的学费收据可报销学费的</w:t>
      </w:r>
      <w:r>
        <w:rPr>
          <w:rStyle w:val="14"/>
          <w:rFonts w:ascii="仿宋_GB2312" w:eastAsia="仿宋_GB2312"/>
          <w:color w:val="000000"/>
          <w:sz w:val="32"/>
          <w:szCs w:val="32"/>
        </w:rPr>
        <w:t>50%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；持硕士研究生学历证书和学位证书，凭就读院校的学费收据可报销学费的</w:t>
      </w:r>
      <w:r>
        <w:rPr>
          <w:rStyle w:val="14"/>
          <w:rFonts w:ascii="仿宋_GB2312" w:eastAsia="仿宋_GB2312"/>
          <w:color w:val="000000"/>
          <w:sz w:val="32"/>
          <w:szCs w:val="32"/>
        </w:rPr>
        <w:t>60%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。（</w:t>
      </w:r>
      <w:r>
        <w:rPr>
          <w:rStyle w:val="14"/>
          <w:rFonts w:ascii="仿宋_GB2312" w:eastAsia="仿宋_GB2312"/>
          <w:color w:val="000000"/>
          <w:sz w:val="32"/>
          <w:szCs w:val="32"/>
        </w:rPr>
        <w:t>2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）在职攻读博士研究生学历（学位）学习的教职工，在学习结束后，持博士研究生学历（学位）证书，凭就读院校的学费收据可报销学费的</w:t>
      </w:r>
      <w:r>
        <w:rPr>
          <w:rStyle w:val="14"/>
          <w:rFonts w:ascii="仿宋_GB2312" w:eastAsia="仿宋_GB2312"/>
          <w:color w:val="000000"/>
          <w:sz w:val="32"/>
          <w:szCs w:val="32"/>
        </w:rPr>
        <w:t>100%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。（</w:t>
      </w:r>
      <w:r>
        <w:rPr>
          <w:rStyle w:val="14"/>
          <w:rFonts w:ascii="仿宋_GB2312" w:eastAsia="仿宋_GB2312"/>
          <w:color w:val="000000"/>
          <w:sz w:val="32"/>
          <w:szCs w:val="32"/>
        </w:rPr>
        <w:t>3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）博士后进站研究学习学费报销，执行在职攻读博士研究生学历（学位）学习的相关规定。</w:t>
      </w:r>
    </w:p>
    <w:p>
      <w:pPr>
        <w:pStyle w:val="13"/>
        <w:spacing w:before="0" w:beforeAutospacing="0" w:after="0" w:afterAutospacing="0" w:line="500" w:lineRule="exact"/>
        <w:ind w:firstLine="31680" w:firstLineChars="200"/>
        <w:rPr>
          <w:rStyle w:val="14"/>
          <w:rFonts w:ascii="仿宋_GB2312" w:eastAsia="仿宋_GB2312"/>
          <w:color w:val="000000"/>
          <w:sz w:val="32"/>
          <w:szCs w:val="32"/>
        </w:rPr>
      </w:pPr>
      <w:r>
        <w:rPr>
          <w:rStyle w:val="14"/>
          <w:rFonts w:ascii="仿宋_GB2312" w:eastAsia="仿宋_GB2312"/>
          <w:color w:val="000000"/>
          <w:sz w:val="32"/>
          <w:szCs w:val="32"/>
        </w:rPr>
        <w:t>2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、在职参加学历（学位）教育学习交通费、住宿费报销规定：经学院批准同意，在职攻读硕士学历（学位）和博士学历（学位）的教职工，每年可报销两次就读学校与工作单位所在地往返交通费，报销标准按学院相关规定执行；学习期间住宿费每学年不得超过</w:t>
      </w:r>
      <w:r>
        <w:rPr>
          <w:rStyle w:val="14"/>
          <w:rFonts w:ascii="仿宋_GB2312" w:eastAsia="仿宋_GB2312"/>
          <w:color w:val="000000"/>
          <w:sz w:val="32"/>
          <w:szCs w:val="32"/>
        </w:rPr>
        <w:t>2000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元，凭就学单位发票由财务处按规定标准审核报销。</w:t>
      </w:r>
    </w:p>
    <w:p>
      <w:pPr>
        <w:pStyle w:val="13"/>
        <w:spacing w:before="0" w:beforeAutospacing="0" w:after="0" w:afterAutospacing="0" w:line="500" w:lineRule="exact"/>
        <w:ind w:firstLine="31680" w:firstLineChars="200"/>
        <w:rPr>
          <w:rStyle w:val="14"/>
          <w:rFonts w:ascii="仿宋_GB2312" w:eastAsia="仿宋_GB2312"/>
          <w:color w:val="000000"/>
          <w:sz w:val="32"/>
          <w:szCs w:val="32"/>
        </w:rPr>
      </w:pPr>
      <w:r>
        <w:rPr>
          <w:rStyle w:val="14"/>
          <w:rFonts w:ascii="仿宋_GB2312" w:eastAsia="仿宋_GB2312"/>
          <w:color w:val="000000"/>
          <w:sz w:val="32"/>
          <w:szCs w:val="32"/>
        </w:rPr>
        <w:t>3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、凡本院在职参加提升学历（学位）教育学习的教职工，取得毕业证书（或学位证书）后必须在学院工作满</w:t>
      </w:r>
      <w:r>
        <w:rPr>
          <w:rStyle w:val="14"/>
          <w:rFonts w:ascii="仿宋_GB2312" w:eastAsia="仿宋_GB2312"/>
          <w:color w:val="000000"/>
          <w:sz w:val="32"/>
          <w:szCs w:val="32"/>
        </w:rPr>
        <w:t>8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年。未按要求工作满</w:t>
      </w:r>
      <w:r>
        <w:rPr>
          <w:rStyle w:val="14"/>
          <w:rFonts w:ascii="仿宋_GB2312" w:eastAsia="仿宋_GB2312"/>
          <w:color w:val="000000"/>
          <w:sz w:val="32"/>
          <w:szCs w:val="32"/>
        </w:rPr>
        <w:t>8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年本人申请调离学院的，除返还学院支出的所有费用（含学费、交通费、住宿费及在职学习期间薪资等）外，按未服务年限计算，硕士研究生每违约一年交一万元违约金，博士研究生每违约一年交两万元违约金，未满一年的按一年计。</w:t>
      </w:r>
    </w:p>
    <w:p>
      <w:pPr>
        <w:pStyle w:val="13"/>
        <w:spacing w:before="0" w:beforeAutospacing="0" w:after="0" w:afterAutospacing="0" w:line="500" w:lineRule="exact"/>
        <w:ind w:firstLine="31680" w:firstLineChars="200"/>
        <w:rPr>
          <w:rStyle w:val="14"/>
          <w:rFonts w:ascii="仿宋_GB2312" w:eastAsia="仿宋_GB2312"/>
          <w:sz w:val="32"/>
          <w:szCs w:val="32"/>
        </w:rPr>
      </w:pPr>
      <w:r>
        <w:rPr>
          <w:rStyle w:val="14"/>
          <w:rFonts w:ascii="仿宋_GB2312" w:eastAsia="仿宋_GB2312"/>
          <w:sz w:val="32"/>
          <w:szCs w:val="32"/>
        </w:rPr>
        <w:t>4</w:t>
      </w:r>
      <w:r>
        <w:rPr>
          <w:rStyle w:val="14"/>
          <w:rFonts w:hint="eastAsia" w:ascii="仿宋_GB2312" w:eastAsia="仿宋_GB2312"/>
          <w:sz w:val="32"/>
          <w:szCs w:val="32"/>
        </w:rPr>
        <w:t>、教职工脱产</w:t>
      </w:r>
      <w:r>
        <w:rPr>
          <w:rStyle w:val="14"/>
          <w:rFonts w:hint="eastAsia" w:ascii="仿宋_GB2312" w:eastAsia="仿宋_GB2312"/>
          <w:color w:val="000000"/>
          <w:sz w:val="32"/>
          <w:szCs w:val="32"/>
        </w:rPr>
        <w:t>参加提升学历（学位）教育</w:t>
      </w:r>
      <w:r>
        <w:rPr>
          <w:rStyle w:val="14"/>
          <w:rFonts w:hint="eastAsia" w:ascii="仿宋_GB2312" w:eastAsia="仿宋_GB2312"/>
          <w:sz w:val="32"/>
          <w:szCs w:val="32"/>
        </w:rPr>
        <w:t>学习期间，享受基本工资待遇，不享受绩效工资。</w:t>
      </w:r>
    </w:p>
    <w:p>
      <w:pPr>
        <w:widowControl/>
        <w:spacing w:line="500" w:lineRule="exact"/>
        <w:ind w:firstLine="560"/>
        <w:jc w:val="left"/>
        <w:rPr>
          <w:rStyle w:val="14"/>
          <w:rFonts w:ascii="仿宋_GB2312" w:eastAsia="仿宋_GB2312"/>
          <w:color w:val="000000"/>
          <w:kern w:val="0"/>
          <w:sz w:val="32"/>
          <w:szCs w:val="32"/>
        </w:rPr>
      </w:pPr>
      <w:r>
        <w:rPr>
          <w:rStyle w:val="14"/>
          <w:rFonts w:hint="eastAsia" w:ascii="仿宋_GB2312" w:eastAsia="仿宋_GB2312"/>
          <w:color w:val="000000"/>
          <w:kern w:val="0"/>
          <w:sz w:val="32"/>
          <w:szCs w:val="32"/>
        </w:rPr>
        <w:t>五、本办法自公布之日起实施。学院原相关规定自然废止。</w:t>
      </w:r>
    </w:p>
    <w:p>
      <w:pPr>
        <w:spacing w:line="500" w:lineRule="exact"/>
        <w:ind w:firstLine="31680" w:firstLineChars="1928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31680" w:firstLineChars="200"/>
        <w:rPr>
          <w:rStyle w:val="14"/>
          <w:rFonts w:ascii="仿宋_GB2312" w:eastAsia="仿宋_GB2312"/>
          <w:color w:val="000000"/>
          <w:kern w:val="0"/>
          <w:sz w:val="32"/>
          <w:szCs w:val="32"/>
        </w:rPr>
      </w:pPr>
      <w:r>
        <w:rPr>
          <w:rStyle w:val="14"/>
          <w:rFonts w:hint="eastAsia" w:ascii="仿宋_GB2312" w:eastAsia="仿宋_GB2312"/>
          <w:color w:val="000000"/>
          <w:kern w:val="0"/>
          <w:sz w:val="32"/>
          <w:szCs w:val="32"/>
        </w:rPr>
        <w:t>附</w:t>
      </w:r>
      <w:r>
        <w:rPr>
          <w:rStyle w:val="14"/>
          <w:rFonts w:ascii="仿宋_GB2312" w:eastAsia="仿宋_GB2312"/>
          <w:color w:val="000000"/>
          <w:kern w:val="0"/>
          <w:sz w:val="32"/>
          <w:szCs w:val="32"/>
        </w:rPr>
        <w:t>:</w:t>
      </w:r>
      <w:r>
        <w:rPr>
          <w:rStyle w:val="14"/>
          <w:rFonts w:hint="eastAsia" w:ascii="仿宋_GB2312" w:eastAsia="仿宋_GB2312"/>
          <w:color w:val="000000"/>
          <w:kern w:val="0"/>
          <w:sz w:val="32"/>
          <w:szCs w:val="32"/>
        </w:rPr>
        <w:t>贵州轻工职业技术学院教职工在职提升学历（学位）教育学习申请表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bCs/>
          <w:spacing w:val="40"/>
          <w:sz w:val="28"/>
          <w:szCs w:val="28"/>
        </w:rPr>
      </w:pPr>
    </w:p>
    <w:p>
      <w:pPr>
        <w:spacing w:line="400" w:lineRule="exact"/>
      </w:pPr>
      <w:r>
        <w:rPr>
          <w:rFonts w:hint="eastAsia" w:ascii="仿宋_GB2312" w:eastAsia="仿宋_GB2312"/>
          <w:bCs/>
          <w:spacing w:val="40"/>
          <w:sz w:val="28"/>
          <w:szCs w:val="28"/>
        </w:rPr>
        <w:t>附：</w:t>
      </w:r>
    </w:p>
    <w:tbl>
      <w:tblPr>
        <w:tblStyle w:val="7"/>
        <w:tblW w:w="8592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36"/>
        <w:gridCol w:w="856"/>
        <w:gridCol w:w="1664"/>
        <w:gridCol w:w="1760"/>
        <w:gridCol w:w="17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59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Style w:val="14"/>
                <w:rFonts w:hint="eastAsia"/>
                <w:b/>
                <w:sz w:val="28"/>
                <w:szCs w:val="28"/>
              </w:rPr>
              <w:t>贵州轻工职业技术学院教职工在职提升学历（学位）教育学习申请表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进校工作时间</w:t>
            </w:r>
          </w:p>
        </w:tc>
        <w:tc>
          <w:tcPr>
            <w:tcW w:w="1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从事的岗位</w:t>
            </w: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拟进修学习学校和专业</w:t>
            </w:r>
          </w:p>
        </w:tc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进修学习的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目的和计划</w:t>
            </w:r>
          </w:p>
        </w:tc>
        <w:tc>
          <w:tcPr>
            <w:tcW w:w="71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学习和工作简历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从高中填起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何年何月至何年何月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在何地学习或工作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ascii="宋体" w:cs="宋体"/>
          <w:sz w:val="24"/>
        </w:rPr>
      </w:pPr>
    </w:p>
    <w:tbl>
      <w:tblPr>
        <w:tblStyle w:val="7"/>
        <w:tblW w:w="93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或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层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荐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8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600"/>
              <w:jc w:val="righ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right="108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(</w:t>
            </w:r>
            <w:r>
              <w:rPr>
                <w:rFonts w:hint="eastAsia" w:ascii="宋体" w:hAnsi="宋体" w:cs="宋体"/>
                <w:kern w:val="0"/>
                <w:sz w:val="24"/>
              </w:rPr>
              <w:t>公章</w:t>
            </w:r>
            <w:r>
              <w:rPr>
                <w:rFonts w:ascii="宋体" w:hAnsi="宋体" w:cs="宋体"/>
                <w:kern w:val="0"/>
                <w:sz w:val="24"/>
              </w:rPr>
              <w:t xml:space="preserve">)        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ind w:right="4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教务处推荐意见</w:t>
            </w:r>
          </w:p>
        </w:tc>
        <w:tc>
          <w:tcPr>
            <w:tcW w:w="8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right="108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(</w:t>
            </w:r>
            <w:r>
              <w:rPr>
                <w:rFonts w:hint="eastAsia" w:ascii="宋体" w:hAnsi="宋体" w:cs="宋体"/>
                <w:kern w:val="0"/>
                <w:sz w:val="24"/>
              </w:rPr>
              <w:t>公章</w:t>
            </w:r>
            <w:r>
              <w:rPr>
                <w:rFonts w:ascii="宋体" w:hAnsi="宋体" w:cs="宋体"/>
                <w:kern w:val="0"/>
                <w:sz w:val="24"/>
              </w:rPr>
              <w:t xml:space="preserve">)        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ind w:right="480" w:firstLine="31680" w:firstLineChars="2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分管院领导推荐意见</w:t>
            </w:r>
          </w:p>
        </w:tc>
        <w:tc>
          <w:tcPr>
            <w:tcW w:w="8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31680" w:firstLineChars="2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D60"/>
    <w:rsid w:val="000D5664"/>
    <w:rsid w:val="000E0B88"/>
    <w:rsid w:val="00123120"/>
    <w:rsid w:val="001744D3"/>
    <w:rsid w:val="001836C5"/>
    <w:rsid w:val="001D024E"/>
    <w:rsid w:val="001E11F3"/>
    <w:rsid w:val="00201067"/>
    <w:rsid w:val="0020787A"/>
    <w:rsid w:val="00275D13"/>
    <w:rsid w:val="002B33B3"/>
    <w:rsid w:val="002C6372"/>
    <w:rsid w:val="002C763E"/>
    <w:rsid w:val="002E0BFF"/>
    <w:rsid w:val="002F79E6"/>
    <w:rsid w:val="00301A4B"/>
    <w:rsid w:val="003A767E"/>
    <w:rsid w:val="003C0B7A"/>
    <w:rsid w:val="003C126C"/>
    <w:rsid w:val="00405DCB"/>
    <w:rsid w:val="004459AF"/>
    <w:rsid w:val="004C353E"/>
    <w:rsid w:val="004D12F9"/>
    <w:rsid w:val="004E2904"/>
    <w:rsid w:val="005A21D0"/>
    <w:rsid w:val="00601102"/>
    <w:rsid w:val="006320E7"/>
    <w:rsid w:val="0066412F"/>
    <w:rsid w:val="00691571"/>
    <w:rsid w:val="006D0FCC"/>
    <w:rsid w:val="006D12A5"/>
    <w:rsid w:val="007723DB"/>
    <w:rsid w:val="007840A6"/>
    <w:rsid w:val="007B1E68"/>
    <w:rsid w:val="007C5D60"/>
    <w:rsid w:val="00815D07"/>
    <w:rsid w:val="00860508"/>
    <w:rsid w:val="00872F1D"/>
    <w:rsid w:val="008A68C7"/>
    <w:rsid w:val="008A79A7"/>
    <w:rsid w:val="008B5B7A"/>
    <w:rsid w:val="00946F1F"/>
    <w:rsid w:val="009D37EE"/>
    <w:rsid w:val="00A10404"/>
    <w:rsid w:val="00A26EF4"/>
    <w:rsid w:val="00B33E4F"/>
    <w:rsid w:val="00BB7B80"/>
    <w:rsid w:val="00BE47D6"/>
    <w:rsid w:val="00C05C09"/>
    <w:rsid w:val="00C26B56"/>
    <w:rsid w:val="00CB321D"/>
    <w:rsid w:val="00CE1D9A"/>
    <w:rsid w:val="00CF7D73"/>
    <w:rsid w:val="00D01D81"/>
    <w:rsid w:val="00D341AE"/>
    <w:rsid w:val="00D46281"/>
    <w:rsid w:val="00D530D8"/>
    <w:rsid w:val="00D738FB"/>
    <w:rsid w:val="00D7511B"/>
    <w:rsid w:val="00DA360B"/>
    <w:rsid w:val="00DB55CE"/>
    <w:rsid w:val="00DF4F35"/>
    <w:rsid w:val="00E65B98"/>
    <w:rsid w:val="00E66121"/>
    <w:rsid w:val="00EC2A7F"/>
    <w:rsid w:val="00ED1EB3"/>
    <w:rsid w:val="00F55674"/>
    <w:rsid w:val="00F75451"/>
    <w:rsid w:val="00FC7B62"/>
    <w:rsid w:val="00FD6F10"/>
    <w:rsid w:val="00FF2613"/>
    <w:rsid w:val="7CC9113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Title Char"/>
    <w:basedOn w:val="6"/>
    <w:link w:val="5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Char"/>
    <w:basedOn w:val="6"/>
    <w:link w:val="5"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Date Char"/>
    <w:basedOn w:val="6"/>
    <w:link w:val="2"/>
    <w:semiHidden/>
    <w:locked/>
    <w:uiPriority w:val="99"/>
    <w:rPr>
      <w:rFonts w:ascii="Calibri" w:hAnsi="Calibri" w:eastAsia="宋体" w:cs="Times New Roman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Footer Char"/>
    <w:basedOn w:val="6"/>
    <w:link w:val="3"/>
    <w:semiHidden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p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character" w:customStyle="1" w:styleId="14">
    <w:name w:val="pt91"/>
    <w:basedOn w:val="6"/>
    <w:qFormat/>
    <w:uiPriority w:val="99"/>
    <w:rPr>
      <w:rFonts w:ascii="宋体" w:hAnsi="宋体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335</Words>
  <Characters>1910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2015-11-24T02:05:00Z</dcterms:created>
  <dc:creator>DELL</dc:creator>
  <cp:lastModifiedBy>Administrator</cp:lastModifiedBy>
  <cp:lastPrinted>2015-11-16T07:22:00Z</cp:lastPrinted>
  <dcterms:modified xsi:type="dcterms:W3CDTF">2017-04-11T02:45:08Z</dcterms:modified>
  <dc:title>黔轻职院〔2015〕100号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